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r w:rsidDel="00000000" w:rsidR="00000000" w:rsidRPr="00000000">
        <w:rPr>
          <w:rtl w:val="0"/>
        </w:rPr>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r w:rsidDel="00000000" w:rsidR="00000000" w:rsidRPr="00000000">
        <w:rPr>
          <w:rtl w:val="0"/>
        </w:rPr>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r w:rsidDel="00000000" w:rsidR="00000000" w:rsidRPr="00000000">
        <w:rPr>
          <w:rtl w:val="0"/>
        </w:rPr>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 claims</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insurance cover from the Framework Start Date in accordance with this Schedule:</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one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(£1,000,000); </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public liability insurance with cover (for a single event or a series of related events and in the aggregate</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of not less than </w:t>
      </w:r>
      <w:r w:rsidDel="00000000" w:rsidR="00000000" w:rsidRPr="00000000">
        <w:rPr>
          <w:rFonts w:ascii="Arial" w:cs="Arial" w:eastAsia="Arial" w:hAnsi="Arial"/>
          <w:sz w:val="24"/>
          <w:szCs w:val="24"/>
          <w:rtl w:val="0"/>
        </w:rPr>
        <w:t xml:space="preserve">one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(£1,000,000); and</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vertAlign w:val="baseline"/>
          <w:rtl w:val="0"/>
        </w:rPr>
        <w:t xml:space="preserve">employers’ liability insurance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with cover (for a single event or a series of related events and in the aggregate) of not less than ten million pounds (£10,000,000).</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D">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F">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highlight w:val="white"/>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RyRdyEx/2V6upWxlD+A7FFPNFQ==">CgMxLjAyCGguZ2pkZ3hzMgloLjMwajB6bGwyCWguMWZvYjl0ZTgAciExdnNHYi1Qd2dQaVJwVDRpQVk5OU05SGR2Y2k3R2hnWFM=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